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50" w:rsidRPr="00D8648E" w:rsidRDefault="007A5050" w:rsidP="007A5050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648E">
        <w:rPr>
          <w:rFonts w:ascii="Times New Roman" w:hAnsi="Times New Roman" w:cs="Times New Roman"/>
          <w:b/>
          <w:sz w:val="22"/>
          <w:szCs w:val="22"/>
        </w:rPr>
        <w:t>Analiza SWOT</w:t>
      </w:r>
    </w:p>
    <w:p w:rsidR="007A5050" w:rsidRPr="007B2B66" w:rsidRDefault="007A5050" w:rsidP="007A5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B2B66">
        <w:rPr>
          <w:rFonts w:ascii="Times New Roman" w:hAnsi="Times New Roman"/>
        </w:rPr>
        <w:t>Analiza SWOT jest jedną z technik wspomagających porządkowanie danych i informacji wykorzystywaną powszechnie w uspołecznionym procesie planowania. Została ona wykorzystana, jako element porządkowania danych wyjściowych, zbierania i podsumowania opinii lokalnych społeczności oraz jako narzędzie w zespołowej analizie i oc</w:t>
      </w:r>
      <w:r>
        <w:rPr>
          <w:rFonts w:ascii="Times New Roman" w:hAnsi="Times New Roman"/>
        </w:rPr>
        <w:t>enie zjawisk, zdarzeń i problemó</w:t>
      </w:r>
      <w:r w:rsidRPr="007B2B66">
        <w:rPr>
          <w:rFonts w:ascii="Times New Roman" w:hAnsi="Times New Roman"/>
        </w:rPr>
        <w:t xml:space="preserve">w wspierające wybór najlepszych rozwiązań. Lokalna Strategia Rozwoju opracowana przez LGD ma charakter przekrojowy i skupia się wokół tematów i obszarów, które mogą łączyć rożne środowiska. Lokalne partnerstwo wspierając wybrany kierunek rozwoju wytyczyło cele strategiczne wynikające </w:t>
      </w:r>
      <w:r>
        <w:rPr>
          <w:rFonts w:ascii="Times New Roman" w:hAnsi="Times New Roman"/>
        </w:rPr>
        <w:br/>
      </w:r>
      <w:r w:rsidRPr="007B2B66">
        <w:rPr>
          <w:rFonts w:ascii="Times New Roman" w:hAnsi="Times New Roman"/>
        </w:rPr>
        <w:t xml:space="preserve">z uwarunkowań obszaru objętego Lokalną Strategią. Cele są efektem przeprowadzonej analizy SWOT, są odpowiedzią na potrzeby społeczności lokalnej i umożliwiają długofalową realizację działań </w:t>
      </w:r>
      <w:r>
        <w:rPr>
          <w:rFonts w:ascii="Times New Roman" w:hAnsi="Times New Roman"/>
        </w:rPr>
        <w:br/>
      </w:r>
      <w:r w:rsidRPr="007B2B66">
        <w:rPr>
          <w:rFonts w:ascii="Times New Roman" w:hAnsi="Times New Roman"/>
        </w:rPr>
        <w:t>w okresie 2014-2020.</w:t>
      </w:r>
    </w:p>
    <w:p w:rsidR="007A5050" w:rsidRPr="007B2B66" w:rsidRDefault="007A5050" w:rsidP="007A5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B2B66">
        <w:rPr>
          <w:rFonts w:ascii="Times New Roman" w:hAnsi="Times New Roman"/>
        </w:rPr>
        <w:t xml:space="preserve">Przedstawiona poniżej analiza to zbiór informacji o mocnych i słabych stronach obszaru LGD </w:t>
      </w:r>
      <w:r>
        <w:rPr>
          <w:rFonts w:ascii="Times New Roman" w:hAnsi="Times New Roman"/>
        </w:rPr>
        <w:br/>
      </w:r>
      <w:r w:rsidRPr="007B2B66">
        <w:rPr>
          <w:rFonts w:ascii="Times New Roman" w:hAnsi="Times New Roman"/>
        </w:rPr>
        <w:t>i stojących przed nią szansach i zagrożeniach. Jest to wypadkowa wiedzy o stanie i potrzebach wszystkich sektorów.</w:t>
      </w:r>
      <w:r>
        <w:rPr>
          <w:rFonts w:ascii="Times New Roman" w:hAnsi="Times New Roman"/>
        </w:rPr>
        <w:t xml:space="preserve"> Silne i słabe strony zostały potraktowane, jako cechy wewnętrzne obszaru LGD, zależne od niego, na które mamy wpływ i możliwość zmian. Szanse i zagrożenia opisują otoczenie zewnętrzne, na które nie mamy wpływu, ale które mają związek z obecną sytuacją na terenie. Analizując szanse i możliwości staraliśmy się przewidzieć, jakie wystąpią w przyszłości okoliczności zewnętrzne, które mogłyby być wykorzystane oraz zagrożenia, które mogłyby mieć wpływ na realizację LSR.</w:t>
      </w:r>
    </w:p>
    <w:p w:rsidR="007A5050" w:rsidRDefault="007A5050" w:rsidP="007A5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A5050" w:rsidRDefault="007A5050" w:rsidP="007A5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5092"/>
      </w:tblGrid>
      <w:tr w:rsidR="007A5050" w:rsidRPr="00E72BB5" w:rsidTr="007A5050">
        <w:trPr>
          <w:trHeight w:val="1115"/>
        </w:trPr>
        <w:tc>
          <w:tcPr>
            <w:tcW w:w="2259" w:type="pct"/>
            <w:shd w:val="clear" w:color="auto" w:fill="BFBFBF" w:themeFill="background1" w:themeFillShade="BF"/>
            <w:vAlign w:val="center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B8F">
              <w:rPr>
                <w:rFonts w:ascii="Times New Roman" w:hAnsi="Times New Roman"/>
                <w:b/>
                <w:color w:val="000000"/>
              </w:rPr>
              <w:t>Mocne strony</w:t>
            </w:r>
          </w:p>
        </w:tc>
        <w:tc>
          <w:tcPr>
            <w:tcW w:w="2741" w:type="pct"/>
            <w:shd w:val="clear" w:color="auto" w:fill="BFBFBF" w:themeFill="background1" w:themeFillShade="BF"/>
            <w:vAlign w:val="center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B8F">
              <w:rPr>
                <w:rFonts w:ascii="Times New Roman" w:hAnsi="Times New Roman"/>
                <w:b/>
                <w:color w:val="000000"/>
              </w:rPr>
              <w:t>Słabe strony</w:t>
            </w:r>
          </w:p>
        </w:tc>
      </w:tr>
      <w:tr w:rsidR="007A5050" w:rsidRPr="00E72BB5" w:rsidTr="007A5050">
        <w:trPr>
          <w:trHeight w:val="557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Walory turystyczne obszaru LGD</w:t>
            </w:r>
          </w:p>
        </w:tc>
        <w:tc>
          <w:tcPr>
            <w:tcW w:w="2741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434">
              <w:rPr>
                <w:rFonts w:ascii="Times New Roman" w:hAnsi="Times New Roman"/>
              </w:rPr>
              <w:t>Niedostosowanie kwalifikacji do wymagań rynku pracy</w:t>
            </w:r>
          </w:p>
        </w:tc>
      </w:tr>
      <w:tr w:rsidR="007A5050" w:rsidRPr="00E72BB5" w:rsidTr="007A5050">
        <w:trPr>
          <w:trHeight w:val="557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Rozwinięta baza oświatowa</w:t>
            </w:r>
          </w:p>
        </w:tc>
        <w:tc>
          <w:tcPr>
            <w:tcW w:w="2741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Brak kreowania postaw przedsiębiorczych u osób młodych</w:t>
            </w:r>
          </w:p>
        </w:tc>
      </w:tr>
      <w:tr w:rsidR="007A5050" w:rsidRPr="00E72BB5" w:rsidTr="007A5050">
        <w:trPr>
          <w:trHeight w:val="557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Bezpośrednie sąsiedztwo Puszczy Kozienickiej</w:t>
            </w:r>
          </w:p>
        </w:tc>
        <w:tc>
          <w:tcPr>
            <w:tcW w:w="2741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Ograniczone możliwości znalezienia zatrudnienia</w:t>
            </w:r>
          </w:p>
        </w:tc>
      </w:tr>
      <w:tr w:rsidR="007A5050" w:rsidRPr="00E72BB5" w:rsidTr="007A5050">
        <w:trPr>
          <w:trHeight w:val="557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Dobrze zachowane dziedzictwo historyczne i kulturowe.</w:t>
            </w:r>
          </w:p>
        </w:tc>
        <w:tc>
          <w:tcPr>
            <w:tcW w:w="2741" w:type="pct"/>
            <w:vAlign w:val="center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Braki w infrastrukturze i jej zły stan techniczny.</w:t>
            </w:r>
          </w:p>
        </w:tc>
      </w:tr>
      <w:tr w:rsidR="007A5050" w:rsidRPr="00E72BB5" w:rsidTr="007A5050">
        <w:trPr>
          <w:trHeight w:val="557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Tereny atrakcyjne pod wypoczynek i rekreację.</w:t>
            </w:r>
          </w:p>
        </w:tc>
        <w:tc>
          <w:tcPr>
            <w:tcW w:w="2741" w:type="pct"/>
            <w:vMerge w:val="restar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Niewystarczająco atrakcyjna oferta spędzania czasu wolnego (szczególnie dla młodzieży i seniorów)</w:t>
            </w:r>
          </w:p>
        </w:tc>
      </w:tr>
      <w:tr w:rsidR="007A5050" w:rsidRPr="00E72BB5" w:rsidTr="007A5050">
        <w:trPr>
          <w:trHeight w:val="557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Potencjał tkwiący w lokalnej społeczności.</w:t>
            </w:r>
          </w:p>
        </w:tc>
        <w:tc>
          <w:tcPr>
            <w:tcW w:w="2741" w:type="pct"/>
            <w:vMerge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5050" w:rsidRPr="00E72BB5" w:rsidTr="007A5050">
        <w:trPr>
          <w:trHeight w:val="557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Przywiązanie lokalnej społeczności do miejsca zamieszkania.</w:t>
            </w:r>
          </w:p>
        </w:tc>
        <w:tc>
          <w:tcPr>
            <w:tcW w:w="2741" w:type="pct"/>
            <w:vAlign w:val="center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Wysokie bezrobocie szczególnie wśród kobiet i młodzieży a także osób 50+.</w:t>
            </w:r>
          </w:p>
        </w:tc>
      </w:tr>
      <w:tr w:rsidR="007A5050" w:rsidRPr="00E72BB5" w:rsidTr="007A5050">
        <w:trPr>
          <w:trHeight w:val="557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Korzystne położenie komunikacyjne</w:t>
            </w:r>
          </w:p>
        </w:tc>
        <w:tc>
          <w:tcPr>
            <w:tcW w:w="2741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color w:val="000000"/>
              </w:rPr>
            </w:pPr>
            <w:r w:rsidRPr="00744434">
              <w:rPr>
                <w:rFonts w:ascii="Times New Roman" w:hAnsi="Times New Roman"/>
              </w:rPr>
              <w:t>Niska świadomość ekologiczna mieszkańców</w:t>
            </w:r>
          </w:p>
        </w:tc>
      </w:tr>
      <w:tr w:rsidR="007A5050" w:rsidRPr="00E72BB5" w:rsidTr="007A5050">
        <w:trPr>
          <w:trHeight w:val="786"/>
        </w:trPr>
        <w:tc>
          <w:tcPr>
            <w:tcW w:w="2259" w:type="pct"/>
            <w:vMerge w:val="restar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05B8F">
              <w:rPr>
                <w:rFonts w:ascii="Times New Roman" w:eastAsia="Times New Roman" w:hAnsi="Times New Roman"/>
                <w:color w:val="000000"/>
                <w:lang w:eastAsia="pl-PL"/>
              </w:rPr>
              <w:t>Zbiorniki wodne i sieć rzeczna mogące</w:t>
            </w:r>
          </w:p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805B8F">
              <w:rPr>
                <w:rFonts w:ascii="Times New Roman" w:eastAsia="Times New Roman" w:hAnsi="Times New Roman"/>
                <w:color w:val="000000"/>
                <w:lang w:eastAsia="pl-PL"/>
              </w:rPr>
              <w:t>zostać</w:t>
            </w:r>
            <w:proofErr w:type="gramEnd"/>
            <w:r w:rsidRPr="00805B8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wykorzystane na cele rekreacyjne,</w:t>
            </w:r>
          </w:p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805B8F">
              <w:rPr>
                <w:rFonts w:ascii="Times New Roman" w:eastAsia="Times New Roman" w:hAnsi="Times New Roman"/>
                <w:color w:val="000000"/>
                <w:lang w:eastAsia="pl-PL"/>
              </w:rPr>
              <w:t>sportowe</w:t>
            </w:r>
            <w:proofErr w:type="gramEnd"/>
            <w:r w:rsidRPr="00805B8F">
              <w:rPr>
                <w:rFonts w:ascii="Times New Roman" w:eastAsia="Times New Roman" w:hAnsi="Times New Roman"/>
                <w:color w:val="000000"/>
                <w:lang w:eastAsia="pl-PL"/>
              </w:rPr>
              <w:t>, turystyczne</w:t>
            </w:r>
          </w:p>
        </w:tc>
        <w:tc>
          <w:tcPr>
            <w:tcW w:w="2741" w:type="pct"/>
            <w:vAlign w:val="center"/>
          </w:tcPr>
          <w:p w:rsidR="007A5050" w:rsidRPr="00805B8F" w:rsidRDefault="007A5050" w:rsidP="00351CE2">
            <w:pPr>
              <w:pStyle w:val="Zawartotabeli"/>
              <w:autoSpaceDE w:val="0"/>
              <w:autoSpaceDN w:val="0"/>
              <w:adjustRightInd w:val="0"/>
              <w:snapToGrid w:val="0"/>
              <w:ind w:left="33"/>
              <w:rPr>
                <w:rFonts w:cs="Arial"/>
                <w:color w:val="000000"/>
                <w:sz w:val="22"/>
                <w:szCs w:val="22"/>
              </w:rPr>
            </w:pPr>
            <w:r w:rsidRPr="00805B8F">
              <w:rPr>
                <w:rFonts w:cs="Arial"/>
                <w:color w:val="000000"/>
                <w:sz w:val="22"/>
                <w:szCs w:val="22"/>
              </w:rPr>
              <w:t>Mała aktywność młodych osób</w:t>
            </w:r>
          </w:p>
        </w:tc>
      </w:tr>
      <w:tr w:rsidR="007A5050" w:rsidRPr="00E72BB5" w:rsidTr="007A5050">
        <w:trPr>
          <w:trHeight w:val="785"/>
        </w:trPr>
        <w:tc>
          <w:tcPr>
            <w:tcW w:w="2259" w:type="pct"/>
            <w:vMerge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41" w:type="pct"/>
            <w:vAlign w:val="center"/>
          </w:tcPr>
          <w:p w:rsidR="007A5050" w:rsidRPr="007A5050" w:rsidRDefault="007A5050" w:rsidP="007A5050">
            <w:pPr>
              <w:pStyle w:val="Zawartotabeli"/>
              <w:autoSpaceDE w:val="0"/>
              <w:autoSpaceDN w:val="0"/>
              <w:adjustRightInd w:val="0"/>
              <w:snapToGrid w:val="0"/>
              <w:ind w:left="33"/>
              <w:rPr>
                <w:rFonts w:cs="Arial"/>
                <w:color w:val="000000"/>
                <w:sz w:val="22"/>
                <w:szCs w:val="22"/>
              </w:rPr>
            </w:pPr>
            <w:r w:rsidRPr="007A5050">
              <w:rPr>
                <w:color w:val="000000"/>
                <w:sz w:val="22"/>
                <w:szCs w:val="22"/>
              </w:rPr>
              <w:t>Niewystarczające wsparcie dla mieszkańców w zakresie aplikowania o środki unijne</w:t>
            </w:r>
          </w:p>
        </w:tc>
      </w:tr>
      <w:tr w:rsidR="007A5050" w:rsidRPr="00E72BB5" w:rsidTr="007A5050">
        <w:trPr>
          <w:trHeight w:val="781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Atrakcyjne tereny inwestycyjne</w:t>
            </w:r>
          </w:p>
        </w:tc>
        <w:tc>
          <w:tcPr>
            <w:tcW w:w="2741" w:type="pct"/>
            <w:vAlign w:val="center"/>
          </w:tcPr>
          <w:p w:rsidR="007A5050" w:rsidRPr="00805B8F" w:rsidRDefault="007A5050" w:rsidP="00351CE2">
            <w:pPr>
              <w:pStyle w:val="Zawartotabeli"/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  <w:sz w:val="22"/>
                <w:szCs w:val="22"/>
              </w:rPr>
            </w:pPr>
            <w:r w:rsidRPr="00805B8F">
              <w:rPr>
                <w:rFonts w:cs="Arial"/>
                <w:color w:val="000000"/>
                <w:sz w:val="22"/>
                <w:szCs w:val="22"/>
              </w:rPr>
              <w:t>Słaba promocja obszaru</w:t>
            </w:r>
          </w:p>
        </w:tc>
      </w:tr>
      <w:tr w:rsidR="007A5050" w:rsidRPr="00E72BB5" w:rsidTr="007A5050">
        <w:trPr>
          <w:trHeight w:val="557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lastRenderedPageBreak/>
              <w:t xml:space="preserve">Zasoby i walory przyrodnicze mogące stanowić podstawę do tworzenia silnego sektora turystycznego i rekreacyjnego </w:t>
            </w:r>
          </w:p>
        </w:tc>
        <w:tc>
          <w:tcPr>
            <w:tcW w:w="2741" w:type="pct"/>
            <w:vMerge w:val="restart"/>
            <w:vAlign w:val="center"/>
          </w:tcPr>
          <w:p w:rsidR="007A5050" w:rsidRPr="00805B8F" w:rsidRDefault="007A5050" w:rsidP="00351CE2">
            <w:pPr>
              <w:pStyle w:val="Zawartotabeli"/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  <w:sz w:val="22"/>
                <w:szCs w:val="22"/>
              </w:rPr>
            </w:pPr>
            <w:r w:rsidRPr="00805B8F">
              <w:rPr>
                <w:rFonts w:cs="Arial"/>
                <w:bCs/>
                <w:color w:val="000000"/>
                <w:sz w:val="22"/>
                <w:szCs w:val="22"/>
              </w:rPr>
              <w:t xml:space="preserve">Brak wsparcia finansowego dla inicjatyw podejmowanych przez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mieszkańców</w:t>
            </w:r>
          </w:p>
        </w:tc>
      </w:tr>
      <w:tr w:rsidR="007A5050" w:rsidRPr="00E72BB5" w:rsidTr="007A5050">
        <w:trPr>
          <w:trHeight w:val="557"/>
        </w:trPr>
        <w:tc>
          <w:tcPr>
            <w:tcW w:w="2259" w:type="pct"/>
            <w:vAlign w:val="center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Duża liczba Kół Gospodyń Wiejskich, zespołów ludowych</w:t>
            </w:r>
          </w:p>
        </w:tc>
        <w:tc>
          <w:tcPr>
            <w:tcW w:w="2741" w:type="pct"/>
            <w:vMerge/>
          </w:tcPr>
          <w:p w:rsidR="007A5050" w:rsidRPr="00805B8F" w:rsidRDefault="007A5050" w:rsidP="007A5050">
            <w:pPr>
              <w:pStyle w:val="Zawartotabeli"/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A5050" w:rsidRPr="00E72BB5" w:rsidTr="007A5050">
        <w:trPr>
          <w:trHeight w:val="1084"/>
        </w:trPr>
        <w:tc>
          <w:tcPr>
            <w:tcW w:w="2259" w:type="pct"/>
            <w:shd w:val="clear" w:color="auto" w:fill="BFBFBF" w:themeFill="background1" w:themeFillShade="BF"/>
            <w:vAlign w:val="center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B8F">
              <w:rPr>
                <w:rFonts w:ascii="Times New Roman" w:hAnsi="Times New Roman"/>
                <w:b/>
                <w:color w:val="000000"/>
              </w:rPr>
              <w:t>Szanse</w:t>
            </w:r>
          </w:p>
        </w:tc>
        <w:tc>
          <w:tcPr>
            <w:tcW w:w="2741" w:type="pct"/>
            <w:shd w:val="clear" w:color="auto" w:fill="BFBFBF" w:themeFill="background1" w:themeFillShade="BF"/>
            <w:vAlign w:val="center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B8F">
              <w:rPr>
                <w:rFonts w:ascii="Times New Roman" w:hAnsi="Times New Roman"/>
                <w:b/>
                <w:color w:val="000000"/>
              </w:rPr>
              <w:t>Zagrożenia</w:t>
            </w:r>
          </w:p>
        </w:tc>
      </w:tr>
      <w:tr w:rsidR="007A5050" w:rsidRPr="00E72BB5" w:rsidTr="007A5050">
        <w:trPr>
          <w:trHeight w:val="526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Zapotrzebowanie na zdrową żywność</w:t>
            </w:r>
          </w:p>
        </w:tc>
        <w:tc>
          <w:tcPr>
            <w:tcW w:w="2741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Brak możliwości rozwoju dla dzieci i młodzieży</w:t>
            </w:r>
          </w:p>
        </w:tc>
      </w:tr>
      <w:tr w:rsidR="007A5050" w:rsidRPr="00E72BB5" w:rsidTr="007A5050">
        <w:trPr>
          <w:trHeight w:val="526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Możliwość realizacji przedsięwzięć w partnerstwie</w:t>
            </w:r>
          </w:p>
        </w:tc>
        <w:tc>
          <w:tcPr>
            <w:tcW w:w="2741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Degradacja zabytków spowodowana brakiem funduszy na ich odnowę.</w:t>
            </w:r>
          </w:p>
        </w:tc>
      </w:tr>
      <w:tr w:rsidR="007A5050" w:rsidRPr="00E72BB5" w:rsidTr="007A5050">
        <w:trPr>
          <w:trHeight w:val="588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Rozwój turystyki i rolnictwa ekologicznego</w:t>
            </w:r>
          </w:p>
        </w:tc>
        <w:tc>
          <w:tcPr>
            <w:tcW w:w="2741" w:type="pct"/>
          </w:tcPr>
          <w:p w:rsidR="007A5050" w:rsidRPr="00805B8F" w:rsidRDefault="007A5050" w:rsidP="00351CE2">
            <w:pPr>
              <w:pStyle w:val="NormalnyWeb"/>
              <w:autoSpaceDE w:val="0"/>
              <w:autoSpaceDN w:val="0"/>
              <w:adjustRightInd w:val="0"/>
              <w:spacing w:before="0" w:beforeAutospacing="0" w:after="0"/>
              <w:rPr>
                <w:rFonts w:cs="Arial"/>
                <w:color w:val="000000"/>
                <w:sz w:val="22"/>
                <w:szCs w:val="22"/>
              </w:rPr>
            </w:pPr>
            <w:r w:rsidRPr="00805B8F">
              <w:rPr>
                <w:rFonts w:cs="Arial"/>
                <w:color w:val="000000"/>
                <w:sz w:val="22"/>
                <w:szCs w:val="22"/>
              </w:rPr>
              <w:t>Wysokie koszty prowadzenia działalności gospodarczej, w tym zatrudniania pracowników.</w:t>
            </w:r>
          </w:p>
        </w:tc>
      </w:tr>
      <w:tr w:rsidR="007A5050" w:rsidRPr="00E72BB5" w:rsidTr="007A5050">
        <w:trPr>
          <w:trHeight w:val="588"/>
        </w:trPr>
        <w:tc>
          <w:tcPr>
            <w:tcW w:w="2259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Tworzenie i wspieranie pozarolniczych miejsc pracy na terenach wiejskich</w:t>
            </w:r>
          </w:p>
        </w:tc>
        <w:tc>
          <w:tcPr>
            <w:tcW w:w="2741" w:type="pct"/>
            <w:vAlign w:val="center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Starzenie się społeczeństwa.</w:t>
            </w:r>
          </w:p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5050" w:rsidRPr="00E72BB5" w:rsidTr="007A5050">
        <w:trPr>
          <w:trHeight w:val="588"/>
        </w:trPr>
        <w:tc>
          <w:tcPr>
            <w:tcW w:w="2259" w:type="pct"/>
          </w:tcPr>
          <w:p w:rsidR="007A5050" w:rsidRPr="00805B8F" w:rsidRDefault="007A5050" w:rsidP="00351CE2">
            <w:pPr>
              <w:pStyle w:val="Zawartotabeli"/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  <w:sz w:val="22"/>
                <w:szCs w:val="22"/>
              </w:rPr>
            </w:pPr>
            <w:r w:rsidRPr="00805B8F">
              <w:rPr>
                <w:rFonts w:cs="Arial"/>
                <w:color w:val="000000"/>
                <w:sz w:val="22"/>
                <w:szCs w:val="22"/>
              </w:rPr>
              <w:t>Wzrost popularności aktywnego spędzania wolnego czasu</w:t>
            </w:r>
          </w:p>
        </w:tc>
        <w:tc>
          <w:tcPr>
            <w:tcW w:w="2741" w:type="pct"/>
            <w:vAlign w:val="center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Ubożenie społeczeństwa.</w:t>
            </w:r>
          </w:p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5050" w:rsidRPr="00E72BB5" w:rsidTr="007A5050">
        <w:trPr>
          <w:trHeight w:val="588"/>
        </w:trPr>
        <w:tc>
          <w:tcPr>
            <w:tcW w:w="2259" w:type="pct"/>
          </w:tcPr>
          <w:p w:rsidR="007A5050" w:rsidRPr="00805B8F" w:rsidRDefault="007A5050" w:rsidP="00351CE2">
            <w:pPr>
              <w:pStyle w:val="NormalnyWeb"/>
              <w:autoSpaceDE w:val="0"/>
              <w:autoSpaceDN w:val="0"/>
              <w:adjustRightInd w:val="0"/>
              <w:spacing w:before="0" w:beforeAutospacing="0" w:after="0"/>
              <w:rPr>
                <w:rFonts w:cs="Arial"/>
                <w:color w:val="000000"/>
                <w:sz w:val="22"/>
                <w:szCs w:val="22"/>
              </w:rPr>
            </w:pPr>
            <w:r w:rsidRPr="00805B8F">
              <w:rPr>
                <w:rFonts w:cs="Arial"/>
                <w:color w:val="000000"/>
                <w:sz w:val="22"/>
                <w:szCs w:val="22"/>
              </w:rPr>
              <w:t>Kontynuacja rozwoju turystyki rowerowej i pieszej.</w:t>
            </w:r>
          </w:p>
        </w:tc>
        <w:tc>
          <w:tcPr>
            <w:tcW w:w="2741" w:type="pct"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B8F">
              <w:rPr>
                <w:rFonts w:ascii="Times New Roman" w:hAnsi="Times New Roman"/>
                <w:color w:val="000000"/>
              </w:rPr>
              <w:t>Zagrożenie wykluczeniem społecznym osób młodych, kobiet, oraz osób powyżej 50 roku życia.</w:t>
            </w:r>
          </w:p>
        </w:tc>
      </w:tr>
      <w:tr w:rsidR="007A5050" w:rsidRPr="00E72BB5" w:rsidTr="007A5050">
        <w:trPr>
          <w:trHeight w:val="588"/>
        </w:trPr>
        <w:tc>
          <w:tcPr>
            <w:tcW w:w="2259" w:type="pct"/>
          </w:tcPr>
          <w:p w:rsidR="007A5050" w:rsidRPr="00805B8F" w:rsidRDefault="007A5050" w:rsidP="00351CE2">
            <w:pPr>
              <w:pStyle w:val="NormalnyWeb"/>
              <w:autoSpaceDE w:val="0"/>
              <w:autoSpaceDN w:val="0"/>
              <w:adjustRightInd w:val="0"/>
              <w:spacing w:before="0" w:beforeAutospacing="0" w:after="0"/>
              <w:rPr>
                <w:rFonts w:cs="Arial"/>
                <w:color w:val="000000"/>
                <w:sz w:val="22"/>
                <w:szCs w:val="22"/>
              </w:rPr>
            </w:pPr>
            <w:r w:rsidRPr="00805B8F">
              <w:rPr>
                <w:rFonts w:cs="Arial"/>
                <w:color w:val="000000"/>
                <w:sz w:val="22"/>
                <w:szCs w:val="22"/>
              </w:rPr>
              <w:t>Modernizacja bazy kulturalnej, sportowo-rekreacyjnej i turystycznej.</w:t>
            </w:r>
          </w:p>
        </w:tc>
        <w:tc>
          <w:tcPr>
            <w:tcW w:w="2741" w:type="pct"/>
          </w:tcPr>
          <w:p w:rsidR="007A5050" w:rsidRPr="00805B8F" w:rsidRDefault="007A5050" w:rsidP="00351CE2">
            <w:pPr>
              <w:pStyle w:val="Zawartotabeli"/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  <w:sz w:val="22"/>
                <w:szCs w:val="22"/>
              </w:rPr>
            </w:pPr>
            <w:r w:rsidRPr="00805B8F">
              <w:rPr>
                <w:rFonts w:cs="Arial"/>
                <w:color w:val="000000"/>
                <w:sz w:val="22"/>
                <w:szCs w:val="22"/>
              </w:rPr>
              <w:t>Dalsze zmiany w mentalności społeczeństwa (bierność, marazm, roszczeniowość)</w:t>
            </w:r>
          </w:p>
        </w:tc>
      </w:tr>
      <w:tr w:rsidR="007A5050" w:rsidRPr="00E72BB5" w:rsidTr="007A5050">
        <w:trPr>
          <w:trHeight w:val="588"/>
        </w:trPr>
        <w:tc>
          <w:tcPr>
            <w:tcW w:w="2259" w:type="pct"/>
          </w:tcPr>
          <w:p w:rsidR="007A5050" w:rsidRPr="00805B8F" w:rsidRDefault="007A5050" w:rsidP="00351CE2">
            <w:pPr>
              <w:pStyle w:val="NormalnyWeb"/>
              <w:autoSpaceDE w:val="0"/>
              <w:autoSpaceDN w:val="0"/>
              <w:adjustRightInd w:val="0"/>
              <w:spacing w:before="0" w:beforeAutospacing="0" w:after="0"/>
              <w:rPr>
                <w:rFonts w:cs="Arial"/>
                <w:color w:val="000000"/>
                <w:sz w:val="22"/>
                <w:szCs w:val="22"/>
              </w:rPr>
            </w:pPr>
            <w:r w:rsidRPr="00805B8F">
              <w:rPr>
                <w:rFonts w:cs="Arial"/>
                <w:color w:val="000000"/>
                <w:sz w:val="22"/>
                <w:szCs w:val="22"/>
              </w:rPr>
              <w:t>Promocja innowacyjnych rozwiązań dla rozwoju regionu.</w:t>
            </w:r>
          </w:p>
        </w:tc>
        <w:tc>
          <w:tcPr>
            <w:tcW w:w="2741" w:type="pct"/>
            <w:vMerge w:val="restart"/>
            <w:vAlign w:val="center"/>
          </w:tcPr>
          <w:p w:rsidR="007A5050" w:rsidRPr="00805B8F" w:rsidRDefault="007A5050" w:rsidP="00351CE2">
            <w:pPr>
              <w:pStyle w:val="Zawartotabeli"/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  <w:sz w:val="22"/>
                <w:szCs w:val="22"/>
              </w:rPr>
            </w:pPr>
            <w:r w:rsidRPr="00805B8F">
              <w:rPr>
                <w:rFonts w:cs="Arial"/>
                <w:color w:val="000000"/>
                <w:sz w:val="22"/>
                <w:szCs w:val="22"/>
              </w:rPr>
              <w:t>Emigracja ludzi wykształconych i przedsiębiorczych za granicę</w:t>
            </w:r>
          </w:p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5050" w:rsidRPr="00E72BB5" w:rsidTr="007A5050">
        <w:trPr>
          <w:trHeight w:val="588"/>
        </w:trPr>
        <w:tc>
          <w:tcPr>
            <w:tcW w:w="2259" w:type="pct"/>
          </w:tcPr>
          <w:p w:rsidR="007A5050" w:rsidRPr="00805B8F" w:rsidRDefault="007A5050" w:rsidP="00351CE2">
            <w:pPr>
              <w:pStyle w:val="NormalnyWeb"/>
              <w:autoSpaceDE w:val="0"/>
              <w:autoSpaceDN w:val="0"/>
              <w:adjustRightInd w:val="0"/>
              <w:spacing w:before="0" w:beforeAutospacing="0" w:after="0"/>
              <w:rPr>
                <w:rFonts w:cs="Arial"/>
                <w:color w:val="000000"/>
                <w:sz w:val="22"/>
                <w:szCs w:val="22"/>
              </w:rPr>
            </w:pPr>
            <w:r w:rsidRPr="00805B8F">
              <w:rPr>
                <w:rFonts w:cs="Arial"/>
                <w:color w:val="000000"/>
                <w:sz w:val="22"/>
                <w:szCs w:val="22"/>
              </w:rPr>
              <w:t xml:space="preserve">Wykreowanie </w:t>
            </w:r>
            <w:r>
              <w:rPr>
                <w:rFonts w:cs="Arial"/>
                <w:color w:val="000000"/>
                <w:sz w:val="22"/>
                <w:szCs w:val="22"/>
              </w:rPr>
              <w:t>marki obszaru</w:t>
            </w:r>
          </w:p>
        </w:tc>
        <w:tc>
          <w:tcPr>
            <w:tcW w:w="2741" w:type="pct"/>
            <w:vMerge/>
          </w:tcPr>
          <w:p w:rsidR="007A5050" w:rsidRPr="00805B8F" w:rsidRDefault="007A5050" w:rsidP="0035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A5050" w:rsidRDefault="007A5050" w:rsidP="007A5050">
      <w:pPr>
        <w:spacing w:after="0"/>
      </w:pPr>
    </w:p>
    <w:p w:rsidR="007A5050" w:rsidRPr="00D8648E" w:rsidRDefault="007A5050" w:rsidP="007A5050">
      <w:pPr>
        <w:spacing w:after="0" w:line="240" w:lineRule="auto"/>
        <w:jc w:val="both"/>
        <w:rPr>
          <w:rFonts w:ascii="Times New Roman" w:hAnsi="Times New Roman"/>
        </w:rPr>
      </w:pPr>
      <w:r w:rsidRPr="00D8648E">
        <w:rPr>
          <w:rFonts w:ascii="Times New Roman" w:hAnsi="Times New Roman"/>
        </w:rPr>
        <w:t xml:space="preserve">Przeprowadzona analiza SWOT jednoznacznie wskazuje, jakie słabości występują </w:t>
      </w:r>
      <w:r w:rsidRPr="00D8648E">
        <w:rPr>
          <w:rFonts w:ascii="Times New Roman" w:hAnsi="Times New Roman"/>
        </w:rPr>
        <w:br/>
        <w:t xml:space="preserve">w otoczeniu wewnętrznym obszaru LGD, co stanowi odniesienie do kierunków działań na rzecz poprawy sytuacji i będzie przedmiotem dalszych rozważań. Mocne strony będą atutem środowisk lokalnych, gwarantującym skuteczność podejmowanych działań. Analiza otoczenia zewnętrznego </w:t>
      </w:r>
      <w:r>
        <w:rPr>
          <w:rFonts w:ascii="Times New Roman" w:hAnsi="Times New Roman"/>
        </w:rPr>
        <w:br/>
      </w:r>
      <w:r w:rsidRPr="00D8648E">
        <w:rPr>
          <w:rFonts w:ascii="Times New Roman" w:hAnsi="Times New Roman"/>
        </w:rPr>
        <w:t>w zakresie szans stwarza możliwości rozwojowe obszaru LGD. Natomiast analiza zagrożeń pozwoli uniknąć konsekwencji negatywnych i podjąć działania zapewniające uniknięcie skutków tych zagrożeń. Z analizy jednoznacznie wynika, że atutami LGD są niewątpliwe wysokie wa</w:t>
      </w:r>
      <w:r>
        <w:rPr>
          <w:rFonts w:ascii="Times New Roman" w:hAnsi="Times New Roman"/>
        </w:rPr>
        <w:t>lory środowiska przyrodniczego.</w:t>
      </w:r>
    </w:p>
    <w:p w:rsidR="007A5050" w:rsidRDefault="007A5050" w:rsidP="007A5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771CB" w:rsidRDefault="009771CB"/>
    <w:sectPr w:rsidR="009771CB" w:rsidSect="0097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A5050"/>
    <w:rsid w:val="007A5050"/>
    <w:rsid w:val="0097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05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0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7A505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7A505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3828</Characters>
  <Application>Microsoft Office Word</Application>
  <DocSecurity>0</DocSecurity>
  <Lines>31</Lines>
  <Paragraphs>8</Paragraphs>
  <ScaleCrop>false</ScaleCrop>
  <Company>Ministrerstwo Edukacji Narodowej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2015-11-13T19:21:00Z</dcterms:created>
  <dcterms:modified xsi:type="dcterms:W3CDTF">2015-11-13T19:25:00Z</dcterms:modified>
</cp:coreProperties>
</file>