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58" w:rsidRDefault="00DA1B0B" w:rsidP="00377558">
      <w:pPr>
        <w:tabs>
          <w:tab w:val="left" w:pos="7517"/>
        </w:tabs>
        <w:spacing w:after="0"/>
        <w:ind w:right="-567" w:hanging="284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10490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714375" cy="7334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Calibri"/>
          <w:b/>
          <w:bCs/>
          <w:noProof/>
          <w:sz w:val="28"/>
          <w:szCs w:val="24"/>
          <w:lang w:eastAsia="pl-PL"/>
        </w:rPr>
        <w:drawing>
          <wp:inline distT="0" distB="0" distL="0" distR="0">
            <wp:extent cx="1304925" cy="8572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58" w:rsidRDefault="00377558" w:rsidP="00377558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sz w:val="20"/>
          <w:szCs w:val="20"/>
        </w:rPr>
        <w:t>„Europejski Fundusz Rolny na rzecz Rozwoju Obszarów Wiejskich: Europa inwestująca w obszary wiejskie.”</w:t>
      </w: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AKTUALIZACJI LSR STOWARZYSZENIA</w:t>
      </w:r>
      <w:r w:rsidR="00EC54A0" w:rsidRPr="00377558">
        <w:rPr>
          <w:b/>
          <w:sz w:val="28"/>
          <w:szCs w:val="28"/>
        </w:rPr>
        <w:t xml:space="preserve"> „DZIEDZICTWO I ROZWÓJ”</w:t>
      </w: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Uwagi w ramach konsultacji społecznych będą przyjmowane osobiście w Biurze Stowarzyszenia oraz za pośrednictwem poczty elektronicznej na adres stowarzyszeniedir@tlen.pl wyłącznie na niniejszym </w:t>
      </w:r>
      <w:r w:rsidR="00377558">
        <w:t xml:space="preserve">formularzu w terminie do dnia </w:t>
      </w:r>
      <w:r w:rsidR="00734811">
        <w:t>2</w:t>
      </w:r>
      <w:r w:rsidR="009F5C46">
        <w:t>4</w:t>
      </w:r>
      <w:r w:rsidR="00734811">
        <w:t xml:space="preserve"> maja</w:t>
      </w:r>
      <w:r w:rsidR="00377558">
        <w:t xml:space="preserve"> </w:t>
      </w:r>
      <w:r>
        <w:t>201</w:t>
      </w:r>
      <w:r w:rsidR="00377558">
        <w:t>8</w:t>
      </w:r>
      <w:r>
        <w:t xml:space="preserve"> r.</w:t>
      </w:r>
    </w:p>
    <w:p w:rsidR="00377558" w:rsidRDefault="00377558" w:rsidP="00377558">
      <w:pPr>
        <w:pStyle w:val="Default"/>
        <w:jc w:val="both"/>
      </w:pP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kontakt: Stowarzyszenie „Dziedzictwo i Rozwój”, ul. Wojska Polskiego 78, 26-700 Zwoleń; </w:t>
      </w:r>
      <w:r w:rsidR="00377558">
        <w:br/>
      </w:r>
      <w:r>
        <w:t>tel. 48 676 20 29; www.dir.zwolen.com</w:t>
      </w:r>
    </w:p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59"/>
        <w:gridCol w:w="2912"/>
        <w:gridCol w:w="2693"/>
        <w:gridCol w:w="2050"/>
      </w:tblGrid>
      <w:tr w:rsidR="00EC54A0" w:rsidTr="00377558">
        <w:tc>
          <w:tcPr>
            <w:tcW w:w="54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Lp.</w:t>
            </w:r>
          </w:p>
        </w:tc>
        <w:tc>
          <w:tcPr>
            <w:tcW w:w="2259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Część dokumentu, której dotyczą uwagi</w:t>
            </w:r>
          </w:p>
        </w:tc>
        <w:tc>
          <w:tcPr>
            <w:tcW w:w="2912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Zapis w pierwotnej wersji dokumentu</w:t>
            </w:r>
          </w:p>
        </w:tc>
        <w:tc>
          <w:tcPr>
            <w:tcW w:w="269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Proponowany zapis po zmianie</w:t>
            </w:r>
          </w:p>
        </w:tc>
        <w:tc>
          <w:tcPr>
            <w:tcW w:w="2050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Uzasadnienie</w:t>
            </w:r>
          </w:p>
        </w:tc>
      </w:tr>
      <w:tr w:rsidR="00EC54A0" w:rsidTr="00377558">
        <w:trPr>
          <w:trHeight w:val="725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1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707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2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3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377558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259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</w:tr>
    </w:tbl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371"/>
      </w:tblGrid>
      <w:tr w:rsidR="00C0594D" w:rsidTr="00377558">
        <w:trPr>
          <w:trHeight w:val="854"/>
        </w:trPr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C0594D" w:rsidTr="00377558"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Dane kontaktowe autora 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377558" w:rsidTr="00377558">
        <w:tc>
          <w:tcPr>
            <w:tcW w:w="10456" w:type="dxa"/>
            <w:gridSpan w:val="2"/>
            <w:shd w:val="clear" w:color="auto" w:fill="auto"/>
            <w:vAlign w:val="center"/>
          </w:tcPr>
          <w:p w:rsidR="00377558" w:rsidRPr="00377558" w:rsidRDefault="00377558" w:rsidP="00377558">
            <w:pPr>
              <w:pStyle w:val="Default"/>
              <w:jc w:val="both"/>
            </w:pPr>
            <w:r w:rsidRPr="00377558">
              <w:t xml:space="preserve">Wyrażam zgodę na przetwarzanie moich danych osobowych zawartych w niniejszej Karcie Uwag na potrzeby przeprowadzenia konsultacji społecznych dotyczących aktualizacji LSR LGD Stowarzyszenie „Dziedzictwo i Rozwój” zgodnie z przepisami ustawy z dnia 29 sierpnia 1997 roku o ochronie danych osobowych (tekst pierwotny: Dz. U. z 1997 r. Nr 133, poz. 883 z </w:t>
            </w:r>
            <w:proofErr w:type="spellStart"/>
            <w:r w:rsidRPr="00377558">
              <w:t>późń</w:t>
            </w:r>
            <w:proofErr w:type="spellEnd"/>
            <w:r w:rsidRPr="00377558">
              <w:t>. zm.).</w:t>
            </w:r>
          </w:p>
          <w:p w:rsidR="00377558" w:rsidRPr="00377558" w:rsidRDefault="00377558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628"/>
        </w:trPr>
        <w:tc>
          <w:tcPr>
            <w:tcW w:w="3085" w:type="dxa"/>
            <w:shd w:val="clear" w:color="auto" w:fill="auto"/>
          </w:tcPr>
          <w:p w:rsidR="00EC54A0" w:rsidRPr="00377558" w:rsidRDefault="00C0594D" w:rsidP="00377558">
            <w:pPr>
              <w:pStyle w:val="Default"/>
              <w:jc w:val="both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C54A0" w:rsidRDefault="00C0594D" w:rsidP="00377558">
            <w:pPr>
              <w:pStyle w:val="Default"/>
              <w:jc w:val="both"/>
            </w:pPr>
            <w:r>
              <w:t>…………………………..</w:t>
            </w:r>
          </w:p>
        </w:tc>
      </w:tr>
    </w:tbl>
    <w:p w:rsidR="00EC54A0" w:rsidRDefault="00EC54A0" w:rsidP="00377558">
      <w:pPr>
        <w:pStyle w:val="Default"/>
        <w:jc w:val="both"/>
      </w:pPr>
    </w:p>
    <w:p w:rsidR="002C7708" w:rsidRDefault="002C7708" w:rsidP="00377558">
      <w:pPr>
        <w:pStyle w:val="Default"/>
        <w:jc w:val="both"/>
      </w:pPr>
      <w:r w:rsidRPr="002C7708">
        <w:t xml:space="preserve">Informujemy, że Administratorem podanych danych jest Stowarzyszenie ”Dziedzictwo i Rozwój”, </w:t>
      </w:r>
      <w:r w:rsidR="00377558">
        <w:br/>
      </w:r>
      <w:r w:rsidRPr="002C7708">
        <w:t xml:space="preserve">ul. Wojska Polskiego 78, 26-700 Zwoleń i nie będą udostępniane innym odbiorcom. Podanie danych jest dobrowolne, ale niezbędne </w:t>
      </w:r>
      <w:r>
        <w:t>przeprowadzenie procedury aktualizacji LSR</w:t>
      </w:r>
      <w:r w:rsidRPr="002C7708">
        <w:t>. 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</w:p>
    <w:sectPr w:rsidR="002C7708" w:rsidSect="00377558">
      <w:pgSz w:w="11906" w:h="17338"/>
      <w:pgMar w:top="709" w:right="707" w:bottom="624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E490B"/>
    <w:rsid w:val="00045BCB"/>
    <w:rsid w:val="002337CC"/>
    <w:rsid w:val="002C7708"/>
    <w:rsid w:val="0030710B"/>
    <w:rsid w:val="00313E38"/>
    <w:rsid w:val="00377558"/>
    <w:rsid w:val="00477D99"/>
    <w:rsid w:val="006A0364"/>
    <w:rsid w:val="00734811"/>
    <w:rsid w:val="007C7BDD"/>
    <w:rsid w:val="009D2C0D"/>
    <w:rsid w:val="009F5C46"/>
    <w:rsid w:val="00A4307A"/>
    <w:rsid w:val="00C0594D"/>
    <w:rsid w:val="00C10465"/>
    <w:rsid w:val="00D8516C"/>
    <w:rsid w:val="00DA1B0B"/>
    <w:rsid w:val="00EC54A0"/>
    <w:rsid w:val="00F40D44"/>
    <w:rsid w:val="00FE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D4DC-D0AC-44A4-8A60-D3B0EC3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Agnieszka Strzelecka</cp:lastModifiedBy>
  <cp:revision>2</cp:revision>
  <dcterms:created xsi:type="dcterms:W3CDTF">2018-05-22T07:03:00Z</dcterms:created>
  <dcterms:modified xsi:type="dcterms:W3CDTF">2018-05-22T07:03:00Z</dcterms:modified>
</cp:coreProperties>
</file>